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№1-0033-1302/2026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О С Т А Н О В Л Е Н И Е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10.07.2026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1rplc-1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Мусатовой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государственного обвинителя – помощника прокурора </w:t>
      </w:r>
      <w:r>
        <w:rPr>
          <w:rStyle w:val="cat-Addressgrp-3rplc-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20rplc-6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потерпевшего – </w:t>
      </w:r>
      <w:r>
        <w:rPr>
          <w:rStyle w:val="cat-FIOgrp-21rplc-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подсудимой </w:t>
      </w:r>
      <w:r>
        <w:rPr>
          <w:rStyle w:val="cat-FIOgrp-22rplc-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защитника – адвоката </w:t>
      </w:r>
      <w:r>
        <w:rPr>
          <w:rFonts w:ascii="Times New Roman" w:eastAsia="Times New Roman" w:hAnsi="Times New Roman" w:cs="Times New Roman"/>
          <w:sz w:val="26"/>
          <w:szCs w:val="26"/>
        </w:rPr>
        <w:t>Цицулина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С.А., действующего на основании удостоверения №1044 от </w:t>
      </w:r>
      <w:r>
        <w:rPr>
          <w:rStyle w:val="cat-Dategrp-13rplc-1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представившего ордер № 281 от </w:t>
      </w:r>
      <w:r>
        <w:rPr>
          <w:rStyle w:val="cat-Dategrp-12rplc-1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с применением особого порядка вынесения судебного решения материалы уголовного дела в отношении: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Style w:val="cat-FIOgrp-24rplc-12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34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31rplc-14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гражданина РФ, с высшим образованием, зарегистрированной по адресу: ХМАО-Югра </w:t>
      </w:r>
      <w:r>
        <w:rPr>
          <w:rStyle w:val="cat-Addressgrp-4rplc-1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проживающей по адресу: Ханты-Мансийский автономный округ-Югра, </w:t>
      </w:r>
      <w:r>
        <w:rPr>
          <w:rStyle w:val="cat-Addressgrp-5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пер. </w:t>
      </w:r>
      <w:r>
        <w:rPr>
          <w:rStyle w:val="cat-UserDefinedgrp-39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замужней на иждивении одного несовершеннолетнего ребенка, нетрудоустроенной, </w:t>
      </w:r>
      <w:r>
        <w:rPr>
          <w:rStyle w:val="cat-PassportDatagrp-32rplc-1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35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36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37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ExternalSystemDefinedgrp-38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ранее не судимой, под стражей по настоящему делу не содержавшейся, с избранной мерой пресечения в виде подписки о невыезде и надлежащем поведении, получившей копию обвинительного акта </w:t>
      </w:r>
      <w:r>
        <w:rPr>
          <w:rStyle w:val="cat-Dategrp-14rplc-2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обвиняемой в совершении преступления, предусмотренного п. «В» ч.2 ст.115 УК РФ,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Органами следствия </w:t>
      </w:r>
      <w:r>
        <w:rPr>
          <w:rStyle w:val="cat-FIOgrp-25rplc-2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обвиняется в следующем.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Style w:val="cat-Dategrp-15rplc-2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около </w:t>
      </w:r>
      <w:r>
        <w:rPr>
          <w:rStyle w:val="cat-Timegrp-33rplc-26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более точное время в ходе дознания не установлено, </w:t>
      </w:r>
      <w:r>
        <w:rPr>
          <w:rStyle w:val="cat-FIOgrp-25rplc-2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находясь в помещении кухни, расположенной в квартире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 дома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16 по </w:t>
      </w:r>
      <w:r>
        <w:rPr>
          <w:rStyle w:val="cat-Addressgrp-7rplc-2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Style w:val="cat-Addressgrp-6rplc-2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ХМАО-Югры, в ходе ссоры, на почве внезапно возникших личных неприязненных отношений с </w:t>
      </w:r>
      <w:r>
        <w:rPr>
          <w:rStyle w:val="cat-UserDefinedgrp-44rplc-3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Александровичем, действуя умышленно, с целью причинения вреда здоровью последнему, осознавая общественную опасность своих действий, предвидя возможность наступления общественно опасных последствий в виде причинения вреда здоровью </w:t>
      </w:r>
      <w:r>
        <w:rPr>
          <w:rStyle w:val="cat-FIOgrp-21rplc-3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желая их наступления, удерживая в правой руке и используя в качестве оружия нож, нанесла </w:t>
      </w:r>
      <w:r>
        <w:rPr>
          <w:rStyle w:val="cat-FIOgrp-21rplc-3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один удар в область левого плеча, один удар в область левого </w:t>
      </w:r>
      <w:r>
        <w:rPr>
          <w:rFonts w:ascii="Times New Roman" w:eastAsia="Times New Roman" w:hAnsi="Times New Roman" w:cs="Times New Roman"/>
          <w:sz w:val="26"/>
          <w:szCs w:val="26"/>
        </w:rPr>
        <w:t>над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лечья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менее одного удара в область правого локтя, тем самым применила указанный нож, как предмет, используемый в качестве оружия, от чего последний испытал физическую боль и получил согласно заключению судебно-медицинской экспертизы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2002 от </w:t>
      </w:r>
      <w:r>
        <w:rPr>
          <w:rStyle w:val="cat-Dategrp-16rplc-3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телесные повреждения в виде колото-резаных ран области левого плеча и левого </w:t>
      </w:r>
      <w:r>
        <w:rPr>
          <w:rFonts w:ascii="Times New Roman" w:eastAsia="Times New Roman" w:hAnsi="Times New Roman" w:cs="Times New Roman"/>
          <w:sz w:val="26"/>
          <w:szCs w:val="26"/>
        </w:rPr>
        <w:t>надплечья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1), поверхностные резаные раны области правого локтя (1), которые как по отдельности, так и в совокупности расцениваются как повреждения, причинившие легкий вред здоровью по признаку кратковременного расстройства здоровья, продолжительностью до 3-х недель от </w:t>
      </w:r>
      <w:r>
        <w:rPr>
          <w:rFonts w:ascii="Times New Roman" w:eastAsia="Times New Roman" w:hAnsi="Times New Roman" w:cs="Times New Roman"/>
          <w:sz w:val="26"/>
          <w:szCs w:val="26"/>
        </w:rPr>
        <w:t>момента причинения травмы (до 21 дня включительно) в соотве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ии с п. 5.3.1. Порядка определения степени тяжести вреда, причиненного здоровью человека, утвержденных приказом Министерства здравоохранения Российской Федерации от </w:t>
      </w:r>
      <w:r>
        <w:rPr>
          <w:rStyle w:val="cat-Dategrp-17rplc-3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172н «Об утверждении Порядка определения степени тяжести вреда, причиненного здоровью человека».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Органами следствия действия </w:t>
      </w:r>
      <w:r>
        <w:rPr>
          <w:rStyle w:val="cat-UserDefinedgrp-41rplc-3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квалифицированы по п. «В» ч. 2 ст. 115 УК РФ – умышленное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причинение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легкого вреда здоровью, вызвавшего кратковременное расстройство здоровья, совершенное с применением предмета, используемого в качестве оружия.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ходе судебного заседания потерпевшим </w:t>
      </w:r>
      <w:r>
        <w:rPr>
          <w:rStyle w:val="cat-UserDefinedgrp-42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заявлено ходатайство о прекращении уголовного дела в отношении </w:t>
      </w:r>
      <w:r>
        <w:rPr>
          <w:rStyle w:val="cat-FIOgrp-24rplc-42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примирением сторон. Потерпевший пояснил, что материальных и моральных претензий к </w:t>
      </w:r>
      <w:r>
        <w:rPr>
          <w:rStyle w:val="cat-FIOgrp-22rplc-4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он не имеет, </w:t>
      </w:r>
      <w:r>
        <w:rPr>
          <w:rStyle w:val="cat-FIOgrp-22rplc-4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принесла ему свои извинения. Принятых </w:t>
      </w:r>
      <w:r>
        <w:rPr>
          <w:rStyle w:val="cat-UserDefinedgrp-43rplc-4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мер по заглаживанию вреда ему достаточно. Последствия прекращения уголовного дела в связи с примирением сторон, ему разъяснены и понятны.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Style w:val="cat-FIOgrp-27rplc-4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ее защитник поддержали ходатайство потерпевшего о прекращении уголовного дела в отношении </w:t>
      </w:r>
      <w:r>
        <w:rPr>
          <w:rStyle w:val="cat-FIOgrp-22rplc-4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примирением сторон.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Подсудимая </w:t>
      </w:r>
      <w:r>
        <w:rPr>
          <w:rStyle w:val="cat-FIOgrp-22rplc-4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пояснила, что вину в совершении преступления она признаёт в полном объёме и в содеянном раскаивается. Она действительно принесла свои извинения потерпевшему, а также приняла меры на заглаживание причиненного морального вреда. Понимает, что прекращение уголовного дела за примирением сторон является не реабилитирующим основанием.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Государственный обвинитель не возражал против удовлетворения ходатайства.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Выслушав мнение участников процесса, суд приходит к выводу о возможности удовлетворения ходатайства о прекращении уголовного дела по следующим основаниям.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ст.25 УПК РФ уголовное дело может быть прекращено на основании заявления потерпевшего в отношении лица обвиняемого в совершении преступления небольшой или средней тяжести, в случаях, предусмотренных ст. 76 УК РФ, если это лицо примирилось с потерпевшим и загладило причинённый ему вред.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причинённый потерпевшему вред.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Судом установлено, что </w:t>
      </w:r>
      <w:r>
        <w:rPr>
          <w:rStyle w:val="cat-FIOgrp-22rplc-5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обвиняется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п. «В» ч. 2 ст. 115 УК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которое в соответствии со ст.15 УК РФ относится к категории небольшой тяжести, по месту жительства характеризуется положительно, к уголовной ответственности не привлекалась, на учёте врачей нарколога и психиатра не состоит.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Учитывая то, что вред потерпевшему возмещён </w:t>
      </w:r>
      <w:r>
        <w:rPr>
          <w:rStyle w:val="cat-FIOgrp-22rplc-51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полном объёме, а также то, что подсудимая и совершённое ею преступление не представляют большой общественной опасности для общества, суд считает возможным прекратить уголовное дело в связи с примирением сторон.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этом суд учитывает то, что в ходе судебного заседания было достоверно установлено, как и каким образом </w:t>
      </w:r>
      <w:r>
        <w:rPr>
          <w:rStyle w:val="cat-FIOgrp-22rplc-52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возместила причиненный потерпевшему вред.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ч.3 ст.24 УПК РФ прекращение уголовного дела влечёт за собой одновременно прекращение уголовного преследования.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Вопрос о вещественных доказательствах суд решает в соответствии со ст. 81 УПК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Процессуальными издержками по делу являются вознаграждение адвокатам, участвовавшим в качестве защитников в уголовном судопроизводстве.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ст.25, п.3 ч.1 ст.254, ст.256 УПК РФ, суд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О С Т А Н О В И Л: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Уголовное дело в отношении </w:t>
      </w:r>
      <w:r>
        <w:rPr>
          <w:rStyle w:val="cat-FIOgrp-24rplc-5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обвиняемой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п. «В» ч. 2 ст. 115 УК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прекратить на основании ст.25 УПК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связи с примирением сторон.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Меру пресечения </w:t>
      </w:r>
      <w:r>
        <w:rPr>
          <w:rStyle w:val="cat-FIOgrp-28rplc-5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виде подписки о невыезде и надлежащем поведении </w:t>
      </w:r>
      <w:r>
        <w:rPr>
          <w:rFonts w:ascii="Times New Roman" w:eastAsia="Times New Roman" w:hAnsi="Times New Roman" w:cs="Times New Roman"/>
          <w:sz w:val="26"/>
          <w:szCs w:val="26"/>
        </w:rPr>
        <w:t>оставить прежней до вступления постановления в законную силу, затем отменить.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После вступления постановления в законную силу, вещественные доказательства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бумажный конверт, в котором находится марлевый бинт с веществом темного красно-бурого цвета, бумажный конверт, в котором находится марлевая ткань со смывом вещества красно-бурого цвета, полимерный пакет, в котором находится одежда </w:t>
      </w:r>
      <w:r>
        <w:rPr>
          <w:rStyle w:val="cat-FIOgrp-22rplc-5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полимерный пакет черного цвета, в котором представлена футболка белого цвета; две упаковки, коричневого бумажного конверта, соединенных между собой, в которых представлены 7 ножей; упаковки - коричневого бумажного конверта, в котором представлены 2 ножа; упаковки - коричневого бумажного конверта, в котором представлен 1 нож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находящиеся в комнате хранения вещественных доказательств ОМВД России по </w:t>
      </w:r>
      <w:r>
        <w:rPr>
          <w:rStyle w:val="cat-Addressgrp-8rplc-5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 уничтожить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бумажный конверт, в котором находятся отрезки с СКМ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хранить в материалах уголовного дела.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Процессуальные издержки в виде вознаграждения адвоката отнести на счёт средств федерального бюджета и освободить </w:t>
      </w:r>
      <w:r>
        <w:rPr>
          <w:rStyle w:val="cat-FIOgrp-29rplc-5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возмещения указанных процессуальных издержек.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апелляционном порядке в течение 15 суток со дня его вынесения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- </w:t>
      </w:r>
      <w:r>
        <w:rPr>
          <w:rStyle w:val="cat-Addressgrp-10rplc-5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- </w:t>
      </w:r>
      <w:r>
        <w:rPr>
          <w:rStyle w:val="cat-Addressgrp-10rplc-6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708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Style w:val="cat-FIOgrp-30rplc-62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1rplc-1">
    <w:name w:val="cat-Address grp-1 rplc-1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20rplc-6">
    <w:name w:val="cat-FIO grp-20 rplc-6"/>
    <w:basedOn w:val="DefaultParagraphFont"/>
  </w:style>
  <w:style w:type="character" w:customStyle="1" w:styleId="cat-FIOgrp-21rplc-7">
    <w:name w:val="cat-FIO grp-21 rplc-7"/>
    <w:basedOn w:val="DefaultParagraphFont"/>
  </w:style>
  <w:style w:type="character" w:customStyle="1" w:styleId="cat-FIOgrp-22rplc-8">
    <w:name w:val="cat-FIO grp-22 rplc-8"/>
    <w:basedOn w:val="DefaultParagraphFont"/>
  </w:style>
  <w:style w:type="character" w:customStyle="1" w:styleId="cat-Dategrp-13rplc-10">
    <w:name w:val="cat-Date grp-13 rplc-10"/>
    <w:basedOn w:val="DefaultParagraphFont"/>
  </w:style>
  <w:style w:type="character" w:customStyle="1" w:styleId="cat-Dategrp-12rplc-11">
    <w:name w:val="cat-Date grp-12 rplc-11"/>
    <w:basedOn w:val="DefaultParagraphFont"/>
  </w:style>
  <w:style w:type="character" w:customStyle="1" w:styleId="cat-FIOgrp-24rplc-12">
    <w:name w:val="cat-FIO grp-24 rplc-12"/>
    <w:basedOn w:val="DefaultParagraphFont"/>
  </w:style>
  <w:style w:type="character" w:customStyle="1" w:styleId="cat-ExternalSystemDefinedgrp-34rplc-13">
    <w:name w:val="cat-ExternalSystemDefined grp-34 rplc-13"/>
    <w:basedOn w:val="DefaultParagraphFont"/>
  </w:style>
  <w:style w:type="character" w:customStyle="1" w:styleId="cat-PassportDatagrp-31rplc-14">
    <w:name w:val="cat-PassportData grp-31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Addressgrp-5rplc-16">
    <w:name w:val="cat-Address grp-5 rplc-16"/>
    <w:basedOn w:val="DefaultParagraphFont"/>
  </w:style>
  <w:style w:type="character" w:customStyle="1" w:styleId="cat-UserDefinedgrp-39rplc-17">
    <w:name w:val="cat-UserDefined grp-39 rplc-17"/>
    <w:basedOn w:val="DefaultParagraphFont"/>
  </w:style>
  <w:style w:type="character" w:customStyle="1" w:styleId="cat-PassportDatagrp-32rplc-18">
    <w:name w:val="cat-PassportData grp-32 rplc-18"/>
    <w:basedOn w:val="DefaultParagraphFont"/>
  </w:style>
  <w:style w:type="character" w:customStyle="1" w:styleId="cat-ExternalSystemDefinedgrp-35rplc-19">
    <w:name w:val="cat-ExternalSystemDefined grp-35 rplc-19"/>
    <w:basedOn w:val="DefaultParagraphFont"/>
  </w:style>
  <w:style w:type="character" w:customStyle="1" w:styleId="cat-ExternalSystemDefinedgrp-36rplc-20">
    <w:name w:val="cat-ExternalSystemDefined grp-36 rplc-20"/>
    <w:basedOn w:val="DefaultParagraphFont"/>
  </w:style>
  <w:style w:type="character" w:customStyle="1" w:styleId="cat-ExternalSystemDefinedgrp-37rplc-21">
    <w:name w:val="cat-ExternalSystemDefined grp-37 rplc-21"/>
    <w:basedOn w:val="DefaultParagraphFont"/>
  </w:style>
  <w:style w:type="character" w:customStyle="1" w:styleId="cat-ExternalSystemDefinedgrp-38rplc-22">
    <w:name w:val="cat-ExternalSystemDefined grp-38 rplc-22"/>
    <w:basedOn w:val="DefaultParagraphFont"/>
  </w:style>
  <w:style w:type="character" w:customStyle="1" w:styleId="cat-Dategrp-14rplc-23">
    <w:name w:val="cat-Date grp-14 rplc-23"/>
    <w:basedOn w:val="DefaultParagraphFont"/>
  </w:style>
  <w:style w:type="character" w:customStyle="1" w:styleId="cat-FIOgrp-25rplc-24">
    <w:name w:val="cat-FIO grp-25 rplc-24"/>
    <w:basedOn w:val="DefaultParagraphFont"/>
  </w:style>
  <w:style w:type="character" w:customStyle="1" w:styleId="cat-Dategrp-15rplc-25">
    <w:name w:val="cat-Date grp-15 rplc-25"/>
    <w:basedOn w:val="DefaultParagraphFont"/>
  </w:style>
  <w:style w:type="character" w:customStyle="1" w:styleId="cat-Timegrp-33rplc-26">
    <w:name w:val="cat-Time grp-33 rplc-26"/>
    <w:basedOn w:val="DefaultParagraphFont"/>
  </w:style>
  <w:style w:type="character" w:customStyle="1" w:styleId="cat-FIOgrp-25rplc-27">
    <w:name w:val="cat-FIO grp-25 rplc-27"/>
    <w:basedOn w:val="DefaultParagraphFont"/>
  </w:style>
  <w:style w:type="character" w:customStyle="1" w:styleId="cat-Addressgrp-7rplc-28">
    <w:name w:val="cat-Address grp-7 rplc-28"/>
    <w:basedOn w:val="DefaultParagraphFont"/>
  </w:style>
  <w:style w:type="character" w:customStyle="1" w:styleId="cat-Addressgrp-6rplc-29">
    <w:name w:val="cat-Address grp-6 rplc-29"/>
    <w:basedOn w:val="DefaultParagraphFont"/>
  </w:style>
  <w:style w:type="character" w:customStyle="1" w:styleId="cat-UserDefinedgrp-44rplc-30">
    <w:name w:val="cat-UserDefined grp-44 rplc-30"/>
    <w:basedOn w:val="DefaultParagraphFont"/>
  </w:style>
  <w:style w:type="character" w:customStyle="1" w:styleId="cat-FIOgrp-21rplc-34">
    <w:name w:val="cat-FIO grp-21 rplc-34"/>
    <w:basedOn w:val="DefaultParagraphFont"/>
  </w:style>
  <w:style w:type="character" w:customStyle="1" w:styleId="cat-FIOgrp-21rplc-35">
    <w:name w:val="cat-FIO grp-21 rplc-35"/>
    <w:basedOn w:val="DefaultParagraphFont"/>
  </w:style>
  <w:style w:type="character" w:customStyle="1" w:styleId="cat-Dategrp-16rplc-36">
    <w:name w:val="cat-Date grp-16 rplc-36"/>
    <w:basedOn w:val="DefaultParagraphFont"/>
  </w:style>
  <w:style w:type="character" w:customStyle="1" w:styleId="cat-Dategrp-17rplc-37">
    <w:name w:val="cat-Date grp-17 rplc-37"/>
    <w:basedOn w:val="DefaultParagraphFont"/>
  </w:style>
  <w:style w:type="character" w:customStyle="1" w:styleId="cat-UserDefinedgrp-41rplc-39">
    <w:name w:val="cat-UserDefined grp-41 rplc-39"/>
    <w:basedOn w:val="DefaultParagraphFont"/>
  </w:style>
  <w:style w:type="character" w:customStyle="1" w:styleId="cat-UserDefinedgrp-42rplc-40">
    <w:name w:val="cat-UserDefined grp-42 rplc-40"/>
    <w:basedOn w:val="DefaultParagraphFont"/>
  </w:style>
  <w:style w:type="character" w:customStyle="1" w:styleId="cat-FIOgrp-24rplc-42">
    <w:name w:val="cat-FIO grp-24 rplc-42"/>
    <w:basedOn w:val="DefaultParagraphFont"/>
  </w:style>
  <w:style w:type="character" w:customStyle="1" w:styleId="cat-FIOgrp-22rplc-43">
    <w:name w:val="cat-FIO grp-22 rplc-43"/>
    <w:basedOn w:val="DefaultParagraphFont"/>
  </w:style>
  <w:style w:type="character" w:customStyle="1" w:styleId="cat-FIOgrp-22rplc-44">
    <w:name w:val="cat-FIO grp-22 rplc-44"/>
    <w:basedOn w:val="DefaultParagraphFont"/>
  </w:style>
  <w:style w:type="character" w:customStyle="1" w:styleId="cat-UserDefinedgrp-43rplc-45">
    <w:name w:val="cat-UserDefined grp-43 rplc-45"/>
    <w:basedOn w:val="DefaultParagraphFont"/>
  </w:style>
  <w:style w:type="character" w:customStyle="1" w:styleId="cat-FIOgrp-27rplc-47">
    <w:name w:val="cat-FIO grp-27 rplc-47"/>
    <w:basedOn w:val="DefaultParagraphFont"/>
  </w:style>
  <w:style w:type="character" w:customStyle="1" w:styleId="cat-FIOgrp-22rplc-48">
    <w:name w:val="cat-FIO grp-22 rplc-48"/>
    <w:basedOn w:val="DefaultParagraphFont"/>
  </w:style>
  <w:style w:type="character" w:customStyle="1" w:styleId="cat-FIOgrp-22rplc-49">
    <w:name w:val="cat-FIO grp-22 rplc-49"/>
    <w:basedOn w:val="DefaultParagraphFont"/>
  </w:style>
  <w:style w:type="character" w:customStyle="1" w:styleId="cat-FIOgrp-22rplc-50">
    <w:name w:val="cat-FIO grp-22 rplc-50"/>
    <w:basedOn w:val="DefaultParagraphFont"/>
  </w:style>
  <w:style w:type="character" w:customStyle="1" w:styleId="cat-FIOgrp-22rplc-51">
    <w:name w:val="cat-FIO grp-22 rplc-51"/>
    <w:basedOn w:val="DefaultParagraphFont"/>
  </w:style>
  <w:style w:type="character" w:customStyle="1" w:styleId="cat-FIOgrp-22rplc-52">
    <w:name w:val="cat-FIO grp-22 rplc-52"/>
    <w:basedOn w:val="DefaultParagraphFont"/>
  </w:style>
  <w:style w:type="character" w:customStyle="1" w:styleId="cat-FIOgrp-24rplc-53">
    <w:name w:val="cat-FIO grp-24 rplc-53"/>
    <w:basedOn w:val="DefaultParagraphFont"/>
  </w:style>
  <w:style w:type="character" w:customStyle="1" w:styleId="cat-FIOgrp-28rplc-54">
    <w:name w:val="cat-FIO grp-28 rplc-54"/>
    <w:basedOn w:val="DefaultParagraphFont"/>
  </w:style>
  <w:style w:type="character" w:customStyle="1" w:styleId="cat-FIOgrp-22rplc-55">
    <w:name w:val="cat-FIO grp-22 rplc-55"/>
    <w:basedOn w:val="DefaultParagraphFont"/>
  </w:style>
  <w:style w:type="character" w:customStyle="1" w:styleId="cat-Addressgrp-8rplc-56">
    <w:name w:val="cat-Address grp-8 rplc-56"/>
    <w:basedOn w:val="DefaultParagraphFont"/>
  </w:style>
  <w:style w:type="character" w:customStyle="1" w:styleId="cat-FIOgrp-29rplc-57">
    <w:name w:val="cat-FIO grp-29 rplc-57"/>
    <w:basedOn w:val="DefaultParagraphFont"/>
  </w:style>
  <w:style w:type="character" w:customStyle="1" w:styleId="cat-Addressgrp-10rplc-59">
    <w:name w:val="cat-Address grp-10 rplc-59"/>
    <w:basedOn w:val="DefaultParagraphFont"/>
  </w:style>
  <w:style w:type="character" w:customStyle="1" w:styleId="cat-Addressgrp-10rplc-61">
    <w:name w:val="cat-Address grp-10 rplc-61"/>
    <w:basedOn w:val="DefaultParagraphFont"/>
  </w:style>
  <w:style w:type="character" w:customStyle="1" w:styleId="cat-FIOgrp-30rplc-62">
    <w:name w:val="cat-FIO grp-30 rplc-6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